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D" w:rsidRPr="00AB025B" w:rsidRDefault="00AB025B" w:rsidP="00AB025B">
      <w:pPr>
        <w:jc w:val="center"/>
        <w:rPr>
          <w:sz w:val="32"/>
          <w:szCs w:val="32"/>
        </w:rPr>
      </w:pPr>
      <w:r w:rsidRPr="00AB025B">
        <w:rPr>
          <w:sz w:val="32"/>
          <w:szCs w:val="32"/>
        </w:rPr>
        <w:t>S. Paolo a Efeso</w:t>
      </w:r>
    </w:p>
    <w:p w:rsidR="00AB025B" w:rsidRDefault="00AB025B" w:rsidP="00AB025B"/>
    <w:p w:rsidR="00AB025B" w:rsidRDefault="00AB025B" w:rsidP="00AB025B"/>
    <w:p w:rsidR="00AB025B" w:rsidRPr="004F30A7" w:rsidRDefault="00AB025B" w:rsidP="00AB025B">
      <w:pPr>
        <w:rPr>
          <w:sz w:val="28"/>
          <w:szCs w:val="28"/>
        </w:rPr>
      </w:pPr>
      <w:r w:rsidRPr="004F30A7">
        <w:rPr>
          <w:sz w:val="28"/>
          <w:szCs w:val="28"/>
        </w:rPr>
        <w:t xml:space="preserve">At 18,18 – 19,1 </w:t>
      </w:r>
      <w:r>
        <w:rPr>
          <w:sz w:val="28"/>
          <w:szCs w:val="28"/>
        </w:rPr>
        <w:t xml:space="preserve"> S. Paolo arriva a Efeso</w:t>
      </w:r>
    </w:p>
    <w:p w:rsidR="00AB025B" w:rsidRDefault="00AB025B" w:rsidP="00AB025B"/>
    <w:p w:rsidR="00AB025B" w:rsidRDefault="00AB025B" w:rsidP="00AB025B">
      <w:r>
        <w:t xml:space="preserve">S. Paolo si ritira a Efeso dove lascia i coniugi Aquila e Priscilla. </w:t>
      </w:r>
    </w:p>
    <w:p w:rsidR="00AB025B" w:rsidRDefault="00AB025B" w:rsidP="00AB025B">
      <w:r>
        <w:t xml:space="preserve">Come al suo solito, va in Sinagoga il sabato per discutere, ma questa volta ha una buona accoglienza. Parte per Gerusalemme, poi va all’altopiano dell’Anatolia, visita le comunità della </w:t>
      </w:r>
      <w:proofErr w:type="spellStart"/>
      <w:r>
        <w:t>Galazia</w:t>
      </w:r>
      <w:proofErr w:type="spellEnd"/>
      <w:r>
        <w:t xml:space="preserve"> e della Frigia: </w:t>
      </w:r>
      <w:r w:rsidRPr="004F30A7">
        <w:rPr>
          <w:i/>
        </w:rPr>
        <w:t>confermando i discepoli</w:t>
      </w:r>
      <w:r>
        <w:t xml:space="preserve">. Ritorna a Efeso e così conclude il suo primo viaggio missionario. </w:t>
      </w:r>
    </w:p>
    <w:p w:rsidR="00AB025B" w:rsidRDefault="00AB025B" w:rsidP="00AB025B"/>
    <w:p w:rsidR="00AB025B" w:rsidRDefault="00AB025B" w:rsidP="00AB025B">
      <w:r>
        <w:t xml:space="preserve">A Efeso arriva Apollo, uomo colto ed esperto nelle Scritture. Conosceva soltanto il Battesimo di Giovanni (anabattisti). Era istruito sulla </w:t>
      </w:r>
      <w:r>
        <w:rPr>
          <w:i/>
        </w:rPr>
        <w:t>vi</w:t>
      </w:r>
      <w:r w:rsidRPr="004E2FC3">
        <w:rPr>
          <w:i/>
        </w:rPr>
        <w:t>a del Signore</w:t>
      </w:r>
      <w:r>
        <w:t xml:space="preserve"> / </w:t>
      </w:r>
      <w:r w:rsidRPr="004E2FC3">
        <w:rPr>
          <w:i/>
        </w:rPr>
        <w:t>di Dio</w:t>
      </w:r>
      <w:r>
        <w:t>. Aquila e Priscilla gli espongono il Vangelo. Poi vuole recarsi all’</w:t>
      </w:r>
      <w:proofErr w:type="spellStart"/>
      <w:r>
        <w:t>Acaia</w:t>
      </w:r>
      <w:proofErr w:type="spellEnd"/>
      <w:r>
        <w:t xml:space="preserve">, Corinto. </w:t>
      </w:r>
    </w:p>
    <w:p w:rsidR="00AB025B" w:rsidRDefault="00AB025B" w:rsidP="00AB025B">
      <w:pPr>
        <w:ind w:left="708"/>
      </w:pPr>
      <w:r>
        <w:t>At 18,28 (</w:t>
      </w:r>
      <w:r w:rsidRPr="004E2FC3">
        <w:rPr>
          <w:i/>
        </w:rPr>
        <w:t>Confutava vigorosamente i giudei dimostrando pubblicamente attraverso le Scritture che Gesù è il Cristo</w:t>
      </w:r>
      <w:r>
        <w:t xml:space="preserve">) </w:t>
      </w:r>
    </w:p>
    <w:p w:rsidR="00AB025B" w:rsidRDefault="00AB025B" w:rsidP="00AB025B"/>
    <w:p w:rsidR="00AB025B" w:rsidRDefault="00AB025B" w:rsidP="00AB025B"/>
    <w:p w:rsidR="00AB025B" w:rsidRPr="00943414" w:rsidRDefault="00AB025B" w:rsidP="00AB025B">
      <w:pPr>
        <w:rPr>
          <w:sz w:val="28"/>
          <w:szCs w:val="28"/>
        </w:rPr>
      </w:pPr>
      <w:r w:rsidRPr="00943414">
        <w:rPr>
          <w:sz w:val="28"/>
          <w:szCs w:val="28"/>
        </w:rPr>
        <w:t xml:space="preserve">At 19,1-7  I discepoli di Giovanni Battista. </w:t>
      </w:r>
    </w:p>
    <w:p w:rsidR="00AB025B" w:rsidRDefault="00AB025B" w:rsidP="00AB025B"/>
    <w:p w:rsidR="00AB025B" w:rsidRDefault="00AB025B" w:rsidP="00AB025B">
      <w:r>
        <w:t xml:space="preserve">A Efeso s. Paolo si trova con 12 discepoli del Battista, che avevano ricevuto un battesimo soltanto di penitenza (conversione), non avevano mai sentito parlare dello </w:t>
      </w:r>
      <w:r w:rsidRPr="00943414">
        <w:rPr>
          <w:i/>
        </w:rPr>
        <w:t>Spirito Santo</w:t>
      </w:r>
      <w:r>
        <w:t xml:space="preserve">. </w:t>
      </w:r>
    </w:p>
    <w:p w:rsidR="00AB025B" w:rsidRDefault="00AB025B" w:rsidP="00AB025B">
      <w:r>
        <w:t xml:space="preserve">Dopo il loro battesimo, ricevendo lo Spirito Santo, parlarono in lingue e profetarono. </w:t>
      </w:r>
    </w:p>
    <w:p w:rsidR="00AB025B" w:rsidRDefault="00AB025B" w:rsidP="00AB025B"/>
    <w:p w:rsidR="00AB025B" w:rsidRDefault="00AB025B" w:rsidP="00AB025B">
      <w:r>
        <w:t xml:space="preserve">A Efeso s. Paolo vi stette due anni. </w:t>
      </w:r>
    </w:p>
    <w:p w:rsidR="00AB025B" w:rsidRDefault="00AB025B" w:rsidP="00AB025B"/>
    <w:p w:rsidR="00AB025B" w:rsidRDefault="00AB025B" w:rsidP="00AB025B">
      <w:r>
        <w:t xml:space="preserve">At 19, 11-12.20-22 sono dei sommari, con la funzione di “cerniera”: unire le diverse parti. </w:t>
      </w:r>
    </w:p>
    <w:p w:rsidR="00AB025B" w:rsidRDefault="00AB025B" w:rsidP="00AB025B"/>
    <w:p w:rsidR="00AB025B" w:rsidRDefault="00AB025B" w:rsidP="00AB025B"/>
    <w:p w:rsidR="00AB025B" w:rsidRPr="009726C3" w:rsidRDefault="00AB025B" w:rsidP="00AB025B">
      <w:pPr>
        <w:rPr>
          <w:sz w:val="28"/>
          <w:szCs w:val="28"/>
        </w:rPr>
      </w:pPr>
      <w:r w:rsidRPr="009726C3">
        <w:rPr>
          <w:sz w:val="28"/>
          <w:szCs w:val="28"/>
        </w:rPr>
        <w:t xml:space="preserve">At 19,1019  L’esorcismo </w:t>
      </w:r>
    </w:p>
    <w:p w:rsidR="00AB025B" w:rsidRDefault="00AB025B" w:rsidP="00AB025B"/>
    <w:p w:rsidR="00AB025B" w:rsidRDefault="00AB025B" w:rsidP="00AB025B">
      <w:r>
        <w:t xml:space="preserve">S. Luca riporta questo fatto: </w:t>
      </w:r>
      <w:r w:rsidRPr="009726C3">
        <w:rPr>
          <w:i/>
        </w:rPr>
        <w:t>nel nome del Signore Gesù</w:t>
      </w:r>
      <w:r>
        <w:t xml:space="preserve"> si operano gli esorcismi. </w:t>
      </w:r>
    </w:p>
    <w:p w:rsidR="00AB025B" w:rsidRDefault="00AB025B" w:rsidP="00AB025B">
      <w:r>
        <w:t xml:space="preserve">Ma non deve essere un gioco e tanto meno un’opportunità di guadagno. Il racconto investe contro l’uso della magia, considerata attività </w:t>
      </w:r>
      <w:r w:rsidRPr="009726C3">
        <w:rPr>
          <w:i/>
        </w:rPr>
        <w:t>del maligno</w:t>
      </w:r>
      <w:r>
        <w:t xml:space="preserve">, attività legata non solo alla superstizione ma anche all’idolatria. </w:t>
      </w:r>
    </w:p>
    <w:p w:rsidR="00AB025B" w:rsidRDefault="00AB025B" w:rsidP="00AB025B"/>
    <w:p w:rsidR="00AB025B" w:rsidRDefault="00AB025B" w:rsidP="00AB025B"/>
    <w:p w:rsidR="00AB025B" w:rsidRPr="00832784" w:rsidRDefault="00AB025B" w:rsidP="00AB025B">
      <w:pPr>
        <w:rPr>
          <w:sz w:val="28"/>
          <w:szCs w:val="28"/>
        </w:rPr>
      </w:pPr>
      <w:r>
        <w:rPr>
          <w:sz w:val="28"/>
          <w:szCs w:val="28"/>
        </w:rPr>
        <w:t>At 19,23-40</w:t>
      </w:r>
      <w:r w:rsidRPr="00832784">
        <w:rPr>
          <w:sz w:val="28"/>
          <w:szCs w:val="28"/>
        </w:rPr>
        <w:t xml:space="preserve">  Gli orefici </w:t>
      </w:r>
    </w:p>
    <w:p w:rsidR="00AB025B" w:rsidRDefault="00AB025B" w:rsidP="00AB025B"/>
    <w:p w:rsidR="00726223" w:rsidRDefault="00726223" w:rsidP="0072622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66850" cy="1951354"/>
            <wp:effectExtent l="19050" t="0" r="0" b="0"/>
            <wp:docPr id="1" name="Immagine 1" descr="https://upload.wikimedia.org/wikipedia/commons/thumb/b/b7/Artemis_Ephesos.JPG/220px-Artemis_Ephe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7/Artemis_Ephesos.JPG/220px-Artemis_Ephes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51" cy="19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23" w:rsidRDefault="00726223" w:rsidP="00AB025B"/>
    <w:p w:rsidR="00AB025B" w:rsidRDefault="00AB025B" w:rsidP="00AB025B">
      <w:r>
        <w:t>Si dice che a Efeso ci fosse il tempio della dea Artemide, una delle forme della dea Diana</w:t>
      </w:r>
      <w:r w:rsidR="00726223">
        <w:t xml:space="preserve"> </w:t>
      </w:r>
      <w:r w:rsidR="00726223">
        <w:rPr>
          <w:rStyle w:val="Rimandonotaapidipagina"/>
        </w:rPr>
        <w:footnoteReference w:id="1"/>
      </w:r>
      <w:r>
        <w:t xml:space="preserve">; il suo tempio ere considerato una delle “sette meraviglie del mondo antico”. </w:t>
      </w:r>
    </w:p>
    <w:p w:rsidR="00AB025B" w:rsidRDefault="00AB025B" w:rsidP="00AB025B">
      <w:r>
        <w:t xml:space="preserve">Le statue di questa dea trovate negli scavi archeologici la rappresentano con un numero elevato di mammelle, per indicare la fecondità. Il suo culto era molto diffuso nell’impero. </w:t>
      </w:r>
    </w:p>
    <w:p w:rsidR="00AB025B" w:rsidRDefault="00AB025B" w:rsidP="00AB025B">
      <w:r>
        <w:t xml:space="preserve">Come succede sempre ci sono dei negozi che vendono i “souvenir” di varie specie, tra i quali la replica del tempio e della dea in argento, che dava lavoro a non pochi artigiani. </w:t>
      </w:r>
    </w:p>
    <w:p w:rsidR="00AB025B" w:rsidRDefault="00AB025B" w:rsidP="00AB025B">
      <w:r>
        <w:t>La predicazione di s. Paolo, stando ai risultati, aveva provocato la preoccupazione negli artigiani, preoccupati delle loro perdite economiche. Guidati da un certo Demetrio</w:t>
      </w:r>
      <w:r w:rsidR="00726223">
        <w:t xml:space="preserve"> inscenano una protesta</w:t>
      </w:r>
      <w:r>
        <w:t xml:space="preserve">. </w:t>
      </w:r>
    </w:p>
    <w:p w:rsidR="00AB025B" w:rsidRDefault="00AB025B" w:rsidP="00AB025B">
      <w:r>
        <w:t xml:space="preserve">Lo svolgimento degli eventi vogliono sottolineare il valore di uno Stato di Diritto e portare l’attenzione a stare in guardia dai motti e sedizioni mosse da un furbo che sa utilizzare l’irrazionalità della folla. </w:t>
      </w:r>
    </w:p>
    <w:p w:rsidR="00AB025B" w:rsidRDefault="00AB025B" w:rsidP="00AB025B">
      <w:r>
        <w:t xml:space="preserve">Mancano le prove? Tutto si deve svolgere nell’assemblea pubblica, davanti alle autorità. Questa è la via dello stabilimento della giustizia. </w:t>
      </w:r>
    </w:p>
    <w:p w:rsidR="00AB025B" w:rsidRDefault="00AB025B" w:rsidP="00AB025B"/>
    <w:p w:rsidR="00AB025B" w:rsidRDefault="00AB025B" w:rsidP="00AB025B">
      <w:r>
        <w:t xml:space="preserve">At 10,1-6  Un sommario con la funzione di cerniera. </w:t>
      </w:r>
    </w:p>
    <w:p w:rsidR="00AB025B" w:rsidRDefault="00AB025B" w:rsidP="00AB025B"/>
    <w:p w:rsidR="00AB025B" w:rsidRDefault="00AB025B" w:rsidP="00AB025B"/>
    <w:p w:rsidR="00AB025B" w:rsidRPr="009726C3" w:rsidRDefault="0005366D" w:rsidP="00AB025B">
      <w:pPr>
        <w:rPr>
          <w:sz w:val="28"/>
          <w:szCs w:val="28"/>
        </w:rPr>
      </w:pPr>
      <w:r>
        <w:rPr>
          <w:sz w:val="28"/>
          <w:szCs w:val="28"/>
        </w:rPr>
        <w:t>At 20,7-12  L</w:t>
      </w:r>
      <w:r w:rsidR="00AB025B" w:rsidRPr="009726C3">
        <w:rPr>
          <w:sz w:val="28"/>
          <w:szCs w:val="28"/>
        </w:rPr>
        <w:t xml:space="preserve">’assemblea liturgica </w:t>
      </w:r>
    </w:p>
    <w:p w:rsidR="00AB025B" w:rsidRDefault="00AB025B" w:rsidP="00AB025B"/>
    <w:p w:rsidR="00AB025B" w:rsidRDefault="00AB025B" w:rsidP="00AB025B">
      <w:r>
        <w:t xml:space="preserve">S. Paolo si trova al centro della celebrazione liturgica nell’assemblea, riunita per </w:t>
      </w:r>
      <w:r>
        <w:rPr>
          <w:i/>
        </w:rPr>
        <w:t>Spezzare il P</w:t>
      </w:r>
      <w:r w:rsidRPr="009726C3">
        <w:rPr>
          <w:i/>
        </w:rPr>
        <w:t>ane</w:t>
      </w:r>
      <w:r>
        <w:t xml:space="preserve">. </w:t>
      </w:r>
    </w:p>
    <w:p w:rsidR="00AB025B" w:rsidRDefault="00AB025B" w:rsidP="00AB025B">
      <w:r>
        <w:t xml:space="preserve">Il primo giorno della settimana corrispondeva al giorno dedicato al Sole, poi, per influenza del cristianesimo divenne </w:t>
      </w:r>
      <w:r w:rsidRPr="00DA2F00">
        <w:rPr>
          <w:i/>
        </w:rPr>
        <w:t>Domenica</w:t>
      </w:r>
      <w:r>
        <w:t xml:space="preserve">, giorno del </w:t>
      </w:r>
      <w:r w:rsidR="00726223">
        <w:rPr>
          <w:i/>
        </w:rPr>
        <w:t>Domi</w:t>
      </w:r>
      <w:r w:rsidRPr="00DA2F00">
        <w:rPr>
          <w:i/>
        </w:rPr>
        <w:t>nus</w:t>
      </w:r>
      <w:r>
        <w:t xml:space="preserve"> (Signore), in ricordo della sua risurrezione. </w:t>
      </w:r>
    </w:p>
    <w:p w:rsidR="00AB025B" w:rsidRDefault="00AB025B" w:rsidP="00AB025B">
      <w:r>
        <w:t xml:space="preserve">L’espressione </w:t>
      </w:r>
      <w:r w:rsidRPr="009726C3">
        <w:rPr>
          <w:i/>
        </w:rPr>
        <w:t>Spezzare il Pane</w:t>
      </w:r>
      <w:r>
        <w:t xml:space="preserve"> è un chiaro riferimento alla’Eucaristia, celebrata nel ricordo dell’ultima cena del Signore. </w:t>
      </w:r>
    </w:p>
    <w:p w:rsidR="00AB025B" w:rsidRDefault="00AB025B" w:rsidP="00AB025B">
      <w:pPr>
        <w:ind w:firstLine="708"/>
      </w:pPr>
      <w:r>
        <w:t xml:space="preserve">1 Cor 15, 3-5 </w:t>
      </w:r>
    </w:p>
    <w:p w:rsidR="00AB025B" w:rsidRDefault="00AB025B" w:rsidP="00AB025B">
      <w:r>
        <w:t xml:space="preserve">Per quattro volte troviamo negli Atti degli Apostoli quest’espressione: </w:t>
      </w:r>
    </w:p>
    <w:p w:rsidR="00AB025B" w:rsidRDefault="00AB025B" w:rsidP="00AB025B">
      <w:pPr>
        <w:ind w:firstLine="708"/>
      </w:pPr>
      <w:r>
        <w:t xml:space="preserve">At 1,42.46; 20,7.11 </w:t>
      </w:r>
    </w:p>
    <w:p w:rsidR="00AB025B" w:rsidRDefault="00AB025B" w:rsidP="00AB025B">
      <w:r>
        <w:t xml:space="preserve">Ci fa capire che consisteva nella </w:t>
      </w:r>
      <w:r w:rsidRPr="00B669EF">
        <w:rPr>
          <w:i/>
        </w:rPr>
        <w:t>celebrazione della Parola</w:t>
      </w:r>
      <w:r>
        <w:t xml:space="preserve"> e nel mangiare </w:t>
      </w:r>
      <w:r w:rsidRPr="00B669EF">
        <w:rPr>
          <w:i/>
        </w:rPr>
        <w:t>Spezzando il Pane</w:t>
      </w:r>
      <w:r>
        <w:t xml:space="preserve">. </w:t>
      </w:r>
    </w:p>
    <w:p w:rsidR="00AB025B" w:rsidRDefault="00AB025B" w:rsidP="00AB025B">
      <w:r>
        <w:t xml:space="preserve">Pratica che proviene dall’Antico Testamento: </w:t>
      </w:r>
    </w:p>
    <w:p w:rsidR="00AB025B" w:rsidRDefault="00AB025B" w:rsidP="00AB025B">
      <w:pPr>
        <w:ind w:left="708"/>
      </w:pPr>
      <w:r>
        <w:t xml:space="preserve">Es 24,3-11; 1 R 8,12-64 (la lunga preghiera di Salomone per la consacrazione del Tempio, conclusasi con un pasto) ; Neh 8,1-12; le assemblea sinagogali. </w:t>
      </w:r>
    </w:p>
    <w:p w:rsidR="00AB025B" w:rsidRDefault="00AB025B" w:rsidP="00AB025B">
      <w:r>
        <w:t xml:space="preserve">S. Paolo parla per tutto la notte (“fino all’alba”). </w:t>
      </w:r>
    </w:p>
    <w:p w:rsidR="00AB025B" w:rsidRDefault="00AB025B" w:rsidP="00AB025B"/>
    <w:p w:rsidR="00AB025B" w:rsidRDefault="00AB025B" w:rsidP="00AB025B">
      <w:r>
        <w:t>S. Giustino martire, nella prima meta del II sec. riporta questa testimonianza di quello che era la pratica nella Chiesa primit</w:t>
      </w:r>
      <w:r w:rsidR="0005366D">
        <w:t>i</w:t>
      </w:r>
      <w:r>
        <w:t xml:space="preserve">va: </w:t>
      </w:r>
    </w:p>
    <w:p w:rsidR="00AB025B" w:rsidRDefault="00AB025B" w:rsidP="00AB025B">
      <w:pPr>
        <w:ind w:left="708"/>
        <w:rPr>
          <w:rFonts w:eastAsia="Calibri"/>
        </w:rPr>
      </w:pPr>
      <w:r>
        <w:rPr>
          <w:rFonts w:eastAsia="Calibri"/>
          <w:i/>
          <w:iCs/>
        </w:rPr>
        <w:t>E nel giorno chiamato del Sole ci raccogliamo in uno stesso luogo della città o della campagna e si fa la lettura delle memorie degli Apostoli e degli Scritti dei Profeti sin che il tempo lo permette. Quando il lettore ha terminato, il preposto tiene un discorso per ammonire ed esortare all’imitazione</w:t>
      </w:r>
      <w:r>
        <w:rPr>
          <w:rStyle w:val="Rimandonotaapidipagina"/>
          <w:rFonts w:eastAsia="Calibri"/>
        </w:rPr>
        <w:footnoteReference w:id="2"/>
      </w:r>
      <w:r>
        <w:rPr>
          <w:rFonts w:eastAsia="Calibri"/>
        </w:rPr>
        <w:t>.</w:t>
      </w:r>
    </w:p>
    <w:p w:rsidR="00AB025B" w:rsidRDefault="00AB025B" w:rsidP="00AB025B"/>
    <w:p w:rsidR="00AB025B" w:rsidRPr="00DA2F00" w:rsidRDefault="00AB025B" w:rsidP="00AB025B">
      <w:pPr>
        <w:rPr>
          <w:sz w:val="28"/>
          <w:szCs w:val="28"/>
        </w:rPr>
      </w:pPr>
      <w:r w:rsidRPr="00DA2F00">
        <w:rPr>
          <w:sz w:val="28"/>
          <w:szCs w:val="28"/>
        </w:rPr>
        <w:t xml:space="preserve">At 20,13-16  Sommario </w:t>
      </w:r>
    </w:p>
    <w:p w:rsidR="00AB025B" w:rsidRDefault="00AB025B" w:rsidP="00AB025B"/>
    <w:p w:rsidR="00AB025B" w:rsidRDefault="00AB025B" w:rsidP="00AB025B">
      <w:r>
        <w:t xml:space="preserve">Il libro degli Atti è continuamente sormontato da sommari sull’attività degli Apostoli, della Chiesa e della sua vita. Fanno parte della narrativa con la funzione di “legare” i racconti. </w:t>
      </w:r>
    </w:p>
    <w:p w:rsidR="00AB025B" w:rsidRDefault="00AB025B" w:rsidP="00AB025B">
      <w:r>
        <w:t xml:space="preserve">In questo caso si può osservare l’uso del “noi”. </w:t>
      </w:r>
    </w:p>
    <w:p w:rsidR="00AB025B" w:rsidRDefault="00AB025B" w:rsidP="00AB025B"/>
    <w:p w:rsidR="00AB025B" w:rsidRPr="00AB025B" w:rsidRDefault="00AB025B" w:rsidP="00AB025B"/>
    <w:sectPr w:rsidR="00AB025B" w:rsidRPr="00AB025B" w:rsidSect="002B1AA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DD" w:rsidRDefault="00C94DDD" w:rsidP="00384799">
      <w:r>
        <w:separator/>
      </w:r>
    </w:p>
  </w:endnote>
  <w:endnote w:type="continuationSeparator" w:id="0">
    <w:p w:rsidR="00C94DDD" w:rsidRDefault="00C94DDD" w:rsidP="0038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3578" w:rsidRPr="00667922" w:rsidRDefault="00BA5876">
        <w:pPr>
          <w:pStyle w:val="Pidipagina"/>
          <w:jc w:val="right"/>
          <w:rPr>
            <w:sz w:val="20"/>
            <w:szCs w:val="20"/>
          </w:rPr>
        </w:pPr>
        <w:r w:rsidRPr="00667922">
          <w:rPr>
            <w:sz w:val="20"/>
            <w:szCs w:val="20"/>
          </w:rPr>
          <w:fldChar w:fldCharType="begin"/>
        </w:r>
        <w:r w:rsidR="00073578" w:rsidRPr="00667922">
          <w:rPr>
            <w:sz w:val="20"/>
            <w:szCs w:val="20"/>
          </w:rPr>
          <w:instrText xml:space="preserve"> PAGE   \* MERGEFORMAT </w:instrText>
        </w:r>
        <w:r w:rsidRPr="00667922">
          <w:rPr>
            <w:sz w:val="20"/>
            <w:szCs w:val="20"/>
          </w:rPr>
          <w:fldChar w:fldCharType="separate"/>
        </w:r>
        <w:r w:rsidR="0005366D">
          <w:rPr>
            <w:noProof/>
            <w:sz w:val="20"/>
            <w:szCs w:val="20"/>
          </w:rPr>
          <w:t>2</w:t>
        </w:r>
        <w:r w:rsidRPr="00667922">
          <w:rPr>
            <w:sz w:val="20"/>
            <w:szCs w:val="20"/>
          </w:rPr>
          <w:fldChar w:fldCharType="end"/>
        </w:r>
      </w:p>
    </w:sdtContent>
  </w:sdt>
  <w:p w:rsidR="00073578" w:rsidRPr="00667922" w:rsidRDefault="00073578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DD" w:rsidRDefault="00C94DDD" w:rsidP="00384799">
      <w:r>
        <w:separator/>
      </w:r>
    </w:p>
  </w:footnote>
  <w:footnote w:type="continuationSeparator" w:id="0">
    <w:p w:rsidR="00C94DDD" w:rsidRDefault="00C94DDD" w:rsidP="00384799">
      <w:r>
        <w:continuationSeparator/>
      </w:r>
    </w:p>
  </w:footnote>
  <w:footnote w:id="1">
    <w:p w:rsidR="00726223" w:rsidRDefault="00726223" w:rsidP="0005366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05366D" w:rsidRPr="00726223">
        <w:rPr>
          <w:bCs/>
          <w:color w:val="222222"/>
          <w:shd w:val="clear" w:color="auto" w:fill="FFFFFF"/>
        </w:rPr>
        <w:t>Artemide</w:t>
      </w:r>
      <w:r w:rsidR="0005366D">
        <w:rPr>
          <w:bCs/>
          <w:color w:val="222222"/>
          <w:shd w:val="clear" w:color="auto" w:fill="FFFFFF"/>
        </w:rPr>
        <w:t xml:space="preserve"> </w:t>
      </w:r>
      <w:r w:rsidR="0005366D" w:rsidRPr="00726223">
        <w:rPr>
          <w:color w:val="222222"/>
          <w:shd w:val="clear" w:color="auto" w:fill="FFFFFF"/>
        </w:rPr>
        <w:t xml:space="preserve">(in greco antico: </w:t>
      </w:r>
      <w:proofErr w:type="spellStart"/>
      <w:r w:rsidR="0005366D" w:rsidRPr="00726223">
        <w:rPr>
          <w:color w:val="222222"/>
          <w:shd w:val="clear" w:color="auto" w:fill="FFFFFF"/>
        </w:rPr>
        <w:t>Ἄρτεμις</w:t>
      </w:r>
      <w:proofErr w:type="spellEnd"/>
      <w:r w:rsidR="0005366D" w:rsidRPr="00726223">
        <w:rPr>
          <w:color w:val="222222"/>
          <w:shd w:val="clear" w:color="auto" w:fill="FFFFFF"/>
        </w:rPr>
        <w:t xml:space="preserve">, </w:t>
      </w:r>
      <w:proofErr w:type="spellStart"/>
      <w:r w:rsidR="0005366D" w:rsidRPr="00726223">
        <w:rPr>
          <w:color w:val="222222"/>
          <w:shd w:val="clear" w:color="auto" w:fill="FFFFFF"/>
        </w:rPr>
        <w:t>Ártemis</w:t>
      </w:r>
      <w:proofErr w:type="spellEnd"/>
      <w:r w:rsidR="0005366D" w:rsidRPr="00726223">
        <w:rPr>
          <w:color w:val="222222"/>
          <w:shd w:val="clear" w:color="auto" w:fill="FFFFFF"/>
        </w:rPr>
        <w:t>) è una divinità della religione greca,</w:t>
      </w:r>
      <w:r w:rsidR="0005366D">
        <w:rPr>
          <w:color w:val="222222"/>
          <w:shd w:val="clear" w:color="auto" w:fill="FFFFFF"/>
        </w:rPr>
        <w:t xml:space="preserve"> </w:t>
      </w:r>
      <w:r w:rsidR="0005366D" w:rsidRPr="00726223">
        <w:rPr>
          <w:bCs/>
          <w:color w:val="222222"/>
          <w:shd w:val="clear" w:color="auto" w:fill="FFFFFF"/>
        </w:rPr>
        <w:t>dea</w:t>
      </w:r>
      <w:r w:rsidR="0005366D">
        <w:rPr>
          <w:bCs/>
          <w:color w:val="222222"/>
          <w:shd w:val="clear" w:color="auto" w:fill="FFFFFF"/>
        </w:rPr>
        <w:t xml:space="preserve"> </w:t>
      </w:r>
      <w:r w:rsidR="0005366D" w:rsidRPr="00726223">
        <w:rPr>
          <w:color w:val="222222"/>
          <w:shd w:val="clear" w:color="auto" w:fill="FFFFFF"/>
        </w:rPr>
        <w:t>della caccia, degli animali selvatici, della foresta e dei campi coltivati; è anche la</w:t>
      </w:r>
      <w:r w:rsidR="0005366D">
        <w:rPr>
          <w:color w:val="222222"/>
          <w:shd w:val="clear" w:color="auto" w:fill="FFFFFF"/>
        </w:rPr>
        <w:t xml:space="preserve"> </w:t>
      </w:r>
      <w:r w:rsidR="0005366D" w:rsidRPr="00726223">
        <w:rPr>
          <w:bCs/>
          <w:color w:val="222222"/>
          <w:shd w:val="clear" w:color="auto" w:fill="FFFFFF"/>
        </w:rPr>
        <w:t>dea</w:t>
      </w:r>
      <w:r w:rsidR="0005366D">
        <w:rPr>
          <w:color w:val="222222"/>
          <w:shd w:val="clear" w:color="auto" w:fill="FFFFFF"/>
        </w:rPr>
        <w:t xml:space="preserve"> </w:t>
      </w:r>
      <w:r w:rsidR="0005366D" w:rsidRPr="00726223">
        <w:rPr>
          <w:color w:val="222222"/>
          <w:shd w:val="clear" w:color="auto" w:fill="FFFFFF"/>
        </w:rPr>
        <w:t>delle iniziazioni femminili, protettrice della verginità e della pudicizia.</w:t>
      </w:r>
    </w:p>
  </w:footnote>
  <w:footnote w:id="2">
    <w:p w:rsidR="00AB025B" w:rsidRPr="00FA0F10" w:rsidRDefault="00AB025B" w:rsidP="00AB025B">
      <w:pPr>
        <w:pStyle w:val="Testonotaapidipagina"/>
        <w:jc w:val="both"/>
      </w:pPr>
      <w:r w:rsidRPr="00FA0F10">
        <w:rPr>
          <w:rStyle w:val="Rimandonotaapidipagina"/>
        </w:rPr>
        <w:footnoteRef/>
      </w:r>
      <w:r w:rsidRPr="00FA0F10">
        <w:t xml:space="preserve"> G</w:t>
      </w:r>
      <w:r>
        <w:t>iustino</w:t>
      </w:r>
      <w:r w:rsidRPr="00FA0F10">
        <w:t xml:space="preserve">, </w:t>
      </w:r>
      <w:r w:rsidRPr="00FA0F10">
        <w:rPr>
          <w:i/>
        </w:rPr>
        <w:t>Apologia</w:t>
      </w:r>
      <w:r w:rsidRPr="00FA0F10">
        <w:t>, I, 67.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777"/>
    <w:multiLevelType w:val="hybridMultilevel"/>
    <w:tmpl w:val="FF54DC1C"/>
    <w:lvl w:ilvl="0" w:tplc="8076A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4F4F"/>
    <w:multiLevelType w:val="hybridMultilevel"/>
    <w:tmpl w:val="7E7A868C"/>
    <w:lvl w:ilvl="0" w:tplc="BF5EF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B2453"/>
    <w:multiLevelType w:val="hybridMultilevel"/>
    <w:tmpl w:val="0B40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799"/>
    <w:rsid w:val="000104D4"/>
    <w:rsid w:val="000371FD"/>
    <w:rsid w:val="0005366D"/>
    <w:rsid w:val="0005424A"/>
    <w:rsid w:val="0005565B"/>
    <w:rsid w:val="00073578"/>
    <w:rsid w:val="00077610"/>
    <w:rsid w:val="000B489B"/>
    <w:rsid w:val="0010241A"/>
    <w:rsid w:val="001048D4"/>
    <w:rsid w:val="00136FD0"/>
    <w:rsid w:val="00154053"/>
    <w:rsid w:val="00167543"/>
    <w:rsid w:val="00170558"/>
    <w:rsid w:val="001736EA"/>
    <w:rsid w:val="00184DC5"/>
    <w:rsid w:val="0019615D"/>
    <w:rsid w:val="001A6190"/>
    <w:rsid w:val="002651D0"/>
    <w:rsid w:val="00282D36"/>
    <w:rsid w:val="002848D5"/>
    <w:rsid w:val="002A74B5"/>
    <w:rsid w:val="002B1AA1"/>
    <w:rsid w:val="002E1BF5"/>
    <w:rsid w:val="003010F7"/>
    <w:rsid w:val="00311339"/>
    <w:rsid w:val="00336ECB"/>
    <w:rsid w:val="00337121"/>
    <w:rsid w:val="0033745E"/>
    <w:rsid w:val="00365144"/>
    <w:rsid w:val="0037373A"/>
    <w:rsid w:val="003779DE"/>
    <w:rsid w:val="00384799"/>
    <w:rsid w:val="0039429A"/>
    <w:rsid w:val="003B3AF9"/>
    <w:rsid w:val="003C1584"/>
    <w:rsid w:val="003C1CC5"/>
    <w:rsid w:val="00463963"/>
    <w:rsid w:val="004B6724"/>
    <w:rsid w:val="004C3C78"/>
    <w:rsid w:val="00504264"/>
    <w:rsid w:val="0053023E"/>
    <w:rsid w:val="0054759D"/>
    <w:rsid w:val="00556828"/>
    <w:rsid w:val="00563B93"/>
    <w:rsid w:val="005A096E"/>
    <w:rsid w:val="00607E45"/>
    <w:rsid w:val="0061401B"/>
    <w:rsid w:val="006220AB"/>
    <w:rsid w:val="006265A0"/>
    <w:rsid w:val="006330CF"/>
    <w:rsid w:val="00667922"/>
    <w:rsid w:val="00670BE4"/>
    <w:rsid w:val="0067790A"/>
    <w:rsid w:val="006821CB"/>
    <w:rsid w:val="0069618E"/>
    <w:rsid w:val="007041CD"/>
    <w:rsid w:val="00726223"/>
    <w:rsid w:val="007647EC"/>
    <w:rsid w:val="007770E2"/>
    <w:rsid w:val="00852FD0"/>
    <w:rsid w:val="00867AD9"/>
    <w:rsid w:val="00902CDD"/>
    <w:rsid w:val="00914F88"/>
    <w:rsid w:val="009565C8"/>
    <w:rsid w:val="009605DC"/>
    <w:rsid w:val="009839FE"/>
    <w:rsid w:val="009B4336"/>
    <w:rsid w:val="009E5458"/>
    <w:rsid w:val="009F16A2"/>
    <w:rsid w:val="009F5062"/>
    <w:rsid w:val="00A00A1C"/>
    <w:rsid w:val="00A0303E"/>
    <w:rsid w:val="00A07603"/>
    <w:rsid w:val="00A10CBD"/>
    <w:rsid w:val="00A31541"/>
    <w:rsid w:val="00AB025B"/>
    <w:rsid w:val="00B147A5"/>
    <w:rsid w:val="00B22215"/>
    <w:rsid w:val="00BA5876"/>
    <w:rsid w:val="00BE5260"/>
    <w:rsid w:val="00C11849"/>
    <w:rsid w:val="00C251C0"/>
    <w:rsid w:val="00C75F91"/>
    <w:rsid w:val="00C94DDD"/>
    <w:rsid w:val="00CA75BD"/>
    <w:rsid w:val="00CC182E"/>
    <w:rsid w:val="00CE325D"/>
    <w:rsid w:val="00D14B96"/>
    <w:rsid w:val="00D14C5C"/>
    <w:rsid w:val="00D4502F"/>
    <w:rsid w:val="00D51707"/>
    <w:rsid w:val="00DE0A37"/>
    <w:rsid w:val="00E573E3"/>
    <w:rsid w:val="00E76A1E"/>
    <w:rsid w:val="00E76DFC"/>
    <w:rsid w:val="00E94137"/>
    <w:rsid w:val="00EA2299"/>
    <w:rsid w:val="00EA7C5E"/>
    <w:rsid w:val="00EB785C"/>
    <w:rsid w:val="00EC32E8"/>
    <w:rsid w:val="00F07F70"/>
    <w:rsid w:val="00F83A42"/>
    <w:rsid w:val="00F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84799"/>
    <w:pPr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4799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84799"/>
    <w:rPr>
      <w:vertAlign w:val="superscript"/>
    </w:rPr>
  </w:style>
  <w:style w:type="paragraph" w:styleId="Corpodeltesto2">
    <w:name w:val="Body Text 2"/>
    <w:basedOn w:val="Normale"/>
    <w:link w:val="Corpodeltesto2Carattere"/>
    <w:rsid w:val="00384799"/>
    <w:rPr>
      <w:rFonts w:eastAsia="Times New Roman"/>
      <w:i/>
      <w:iCs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4799"/>
    <w:rPr>
      <w:rFonts w:eastAsia="Times New Roman"/>
      <w:i/>
      <w:iCs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7E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7E45"/>
  </w:style>
  <w:style w:type="paragraph" w:styleId="Intestazione">
    <w:name w:val="header"/>
    <w:basedOn w:val="Normale"/>
    <w:link w:val="IntestazioneCarattere"/>
    <w:uiPriority w:val="99"/>
    <w:semiHidden/>
    <w:unhideWhenUsed/>
    <w:rsid w:val="00667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922"/>
  </w:style>
  <w:style w:type="paragraph" w:styleId="Pidipagina">
    <w:name w:val="footer"/>
    <w:basedOn w:val="Normale"/>
    <w:link w:val="PidipaginaCarattere"/>
    <w:uiPriority w:val="99"/>
    <w:unhideWhenUsed/>
    <w:rsid w:val="00667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22"/>
  </w:style>
  <w:style w:type="paragraph" w:styleId="Paragrafoelenco">
    <w:name w:val="List Paragraph"/>
    <w:basedOn w:val="Normale"/>
    <w:uiPriority w:val="34"/>
    <w:qFormat/>
    <w:rsid w:val="00336E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35C93-F77A-45B3-B7D3-C1A1E1BD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44</cp:revision>
  <cp:lastPrinted>2020-11-04T08:41:00Z</cp:lastPrinted>
  <dcterms:created xsi:type="dcterms:W3CDTF">2019-10-08T08:03:00Z</dcterms:created>
  <dcterms:modified xsi:type="dcterms:W3CDTF">2020-11-16T11:06:00Z</dcterms:modified>
</cp:coreProperties>
</file>